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3" w:rsidRPr="003A4515" w:rsidRDefault="00395923" w:rsidP="00395923">
      <w:pPr>
        <w:pStyle w:val="a3"/>
        <w:tabs>
          <w:tab w:val="left" w:pos="284"/>
        </w:tabs>
        <w:spacing w:after="240"/>
        <w:ind w:left="142"/>
        <w:jc w:val="center"/>
        <w:rPr>
          <w:rFonts w:ascii="Book Antiqua" w:hAnsi="Book Antiqua"/>
          <w:color w:val="4F81BD" w:themeColor="accent1"/>
        </w:rPr>
      </w:pPr>
      <w:r w:rsidRPr="00F72D6B">
        <w:rPr>
          <w:rFonts w:ascii="Book Antiqua" w:hAnsi="Book Antiqua"/>
          <w:color w:val="4F81BD" w:themeColor="accent1"/>
        </w:rPr>
        <w:t xml:space="preserve">SWOT </w:t>
      </w:r>
      <w:r w:rsidR="003A4515">
        <w:rPr>
          <w:rFonts w:ascii="Book Antiqua" w:hAnsi="Book Antiqua"/>
          <w:color w:val="4F81BD" w:themeColor="accent1"/>
        </w:rPr>
        <w:t>АНАЛИЗ</w:t>
      </w:r>
    </w:p>
    <w:p w:rsidR="00395923" w:rsidRPr="00F72D6B" w:rsidRDefault="00395923" w:rsidP="00395923">
      <w:pPr>
        <w:pStyle w:val="a3"/>
        <w:spacing w:after="200"/>
        <w:rPr>
          <w:rFonts w:ascii="Book Antiqua" w:hAnsi="Book Antiqua"/>
          <w:b w:val="0"/>
          <w:noProof/>
          <w:color w:val="auto"/>
          <w:sz w:val="24"/>
          <w:szCs w:val="24"/>
          <w:lang w:val="uz-Cyrl-UZ"/>
        </w:rPr>
      </w:pPr>
      <w:r w:rsidRPr="00F72D6B">
        <w:rPr>
          <w:rFonts w:ascii="Book Antiqua" w:hAnsi="Book Antiqua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85061</wp:posOffset>
            </wp:positionH>
            <wp:positionV relativeFrom="paragraph">
              <wp:posOffset>209623</wp:posOffset>
            </wp:positionV>
            <wp:extent cx="8920717" cy="5252483"/>
            <wp:effectExtent l="0" t="0" r="0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tabs>
          <w:tab w:val="left" w:pos="2934"/>
        </w:tabs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  <w:r w:rsidRPr="00F72D6B">
        <w:rPr>
          <w:rFonts w:ascii="Book Antiqua" w:hAnsi="Book Antiqua"/>
          <w:noProof/>
          <w:color w:val="auto"/>
          <w:szCs w:val="28"/>
          <w:lang w:val="uz-Cyrl-UZ"/>
        </w:rPr>
        <w:tab/>
      </w:r>
    </w:p>
    <w:p w:rsidR="00395923" w:rsidRPr="00F72D6B" w:rsidRDefault="00395923" w:rsidP="00395923">
      <w:pPr>
        <w:tabs>
          <w:tab w:val="left" w:pos="8898"/>
        </w:tabs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  <w:r w:rsidRPr="00F72D6B">
        <w:rPr>
          <w:rFonts w:ascii="Book Antiqua" w:hAnsi="Book Antiqua"/>
          <w:noProof/>
          <w:color w:val="auto"/>
          <w:szCs w:val="28"/>
          <w:lang w:val="uz-Cyrl-UZ"/>
        </w:rPr>
        <w:tab/>
      </w: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395923" w:rsidRPr="00F72D6B" w:rsidRDefault="00395923" w:rsidP="00395923">
      <w:pPr>
        <w:spacing w:after="240"/>
        <w:ind w:left="142" w:firstLine="709"/>
        <w:jc w:val="both"/>
        <w:rPr>
          <w:rFonts w:ascii="Book Antiqua" w:hAnsi="Book Antiqua"/>
          <w:noProof/>
          <w:color w:val="auto"/>
          <w:szCs w:val="28"/>
          <w:lang w:val="uz-Cyrl-UZ"/>
        </w:rPr>
      </w:pPr>
    </w:p>
    <w:p w:rsidR="00FA1C18" w:rsidRDefault="00FA1C18"/>
    <w:sectPr w:rsidR="00FA1C18" w:rsidSect="003959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293"/>
    <w:multiLevelType w:val="multilevel"/>
    <w:tmpl w:val="CD70E2E8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4F81BD" w:themeColor="accen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923"/>
    <w:rsid w:val="00395923"/>
    <w:rsid w:val="003A4515"/>
    <w:rsid w:val="0074496B"/>
    <w:rsid w:val="00D06257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23"/>
    <w:pPr>
      <w:spacing w:line="276" w:lineRule="auto"/>
      <w:ind w:firstLine="0"/>
      <w:jc w:val="left"/>
    </w:pPr>
    <w:rPr>
      <w:rFonts w:eastAsiaTheme="minorEastAsia"/>
      <w:b/>
      <w:color w:val="1F497D" w:themeColor="tex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39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B73407-C525-4504-9B08-3A6596FDFA50}" type="doc">
      <dgm:prSet loTypeId="urn:microsoft.com/office/officeart/2005/8/layout/matrix2" loCatId="matrix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CA20770-605D-45B6-A39B-467EDF5ECEAC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endParaRPr lang="en-US" sz="1100" b="1">
            <a:latin typeface="Book Antiqua" panose="02040602050305030304" pitchFamily="18" charset="0"/>
          </a:endParaRPr>
        </a:p>
        <a:p>
          <a:pPr algn="ctr">
            <a:spcAft>
              <a:spcPts val="0"/>
            </a:spcAft>
          </a:pPr>
          <a:endParaRPr lang="en-US" sz="1100" b="1">
            <a:latin typeface="Book Antiqua" panose="02040602050305030304" pitchFamily="18" charset="0"/>
          </a:endParaRPr>
        </a:p>
        <a:p>
          <a:pPr algn="ctr">
            <a:spcAft>
              <a:spcPts val="0"/>
            </a:spcAft>
          </a:pPr>
          <a:endParaRPr lang="en-US" sz="1100" b="1">
            <a:latin typeface="Book Antiqua" panose="02040602050305030304" pitchFamily="18" charset="0"/>
          </a:endParaRPr>
        </a:p>
        <a:p>
          <a:pPr algn="ctr">
            <a:spcAft>
              <a:spcPts val="0"/>
            </a:spcAft>
          </a:pPr>
          <a:r>
            <a:rPr lang="en-US" sz="1100" b="1">
              <a:latin typeface="Book Antiqua" panose="02040602050305030304" pitchFamily="18" charset="0"/>
            </a:rPr>
            <a:t>S (</a:t>
          </a:r>
          <a:r>
            <a:rPr lang="ru-RU" sz="1100" b="1">
              <a:latin typeface="Book Antiqua" panose="02040602050305030304" pitchFamily="18" charset="0"/>
            </a:rPr>
            <a:t>Сильные стороны) - сильные стороны - известный бренд; - команда высококвалифицированных специалистов; - широкий спектр производственных видов геотехнических работ и услуг; - наличие системы профессиональной подготовки и обучения; - наличие стандартов организаций, утвержденных Министерством строительства Республики Узбекистан в обществе; - программа социальной ответственности; - многолетнее сотрудничество с такими лидерами, как </a:t>
          </a:r>
          <a:r>
            <a:rPr lang="en-US" sz="1100" b="1">
              <a:latin typeface="Book Antiqua" panose="02040602050305030304" pitchFamily="18" charset="0"/>
            </a:rPr>
            <a:t>Bauer (</a:t>
          </a:r>
          <a:r>
            <a:rPr lang="ru-RU" sz="1100" b="1">
              <a:latin typeface="Book Antiqua" panose="02040602050305030304" pitchFamily="18" charset="0"/>
            </a:rPr>
            <a:t>Германия), </a:t>
          </a:r>
          <a:r>
            <a:rPr lang="en-US" sz="1100" b="1">
              <a:latin typeface="Book Antiqua" panose="02040602050305030304" pitchFamily="18" charset="0"/>
            </a:rPr>
            <a:t>SoilMec</a:t>
          </a:r>
          <a:r>
            <a:rPr lang="ru-RU" sz="1100" b="1">
              <a:latin typeface="Book Antiqua" panose="02040602050305030304" pitchFamily="18" charset="0"/>
            </a:rPr>
            <a:t> (Италия)</a:t>
          </a:r>
          <a:endParaRPr lang="en-US" sz="800">
            <a:latin typeface="Book Antiqua" panose="02040602050305030304" pitchFamily="18" charset="0"/>
          </a:endParaRPr>
        </a:p>
        <a:p>
          <a:pPr algn="ctr">
            <a:spcAft>
              <a:spcPts val="0"/>
            </a:spcAft>
          </a:pPr>
          <a:r>
            <a:rPr lang="uz-Cyrl-UZ" sz="1100" b="1">
              <a:latin typeface="Book Antiqua" panose="02040602050305030304" pitchFamily="18" charset="0"/>
            </a:rPr>
            <a:t>  </a:t>
          </a:r>
        </a:p>
        <a:p>
          <a:pPr algn="ctr">
            <a:spcAft>
              <a:spcPts val="0"/>
            </a:spcAft>
          </a:pPr>
          <a:endParaRPr lang="en-US" sz="1050" b="1">
            <a:latin typeface="Book Antiqua" panose="02040602050305030304" pitchFamily="18" charset="0"/>
          </a:endParaRPr>
        </a:p>
        <a:p>
          <a:pPr algn="ctr">
            <a:spcAft>
              <a:spcPts val="0"/>
            </a:spcAft>
          </a:pPr>
          <a:endParaRPr lang="en-US" sz="1050" b="1">
            <a:latin typeface="Book Antiqua" panose="02040602050305030304" pitchFamily="18" charset="0"/>
          </a:endParaRPr>
        </a:p>
      </dgm:t>
    </dgm:pt>
    <dgm:pt modelId="{F6235C85-C90B-4413-BA46-758E8EFCF0D9}" type="parTrans" cxnId="{DF1D6418-E26C-428F-ADF1-62EE66697D41}">
      <dgm:prSet/>
      <dgm:spPr/>
      <dgm:t>
        <a:bodyPr/>
        <a:lstStyle/>
        <a:p>
          <a:endParaRPr lang="ru-RU"/>
        </a:p>
      </dgm:t>
    </dgm:pt>
    <dgm:pt modelId="{F8EB9ECD-CEB4-4D61-9245-449485C3F385}" type="sibTrans" cxnId="{DF1D6418-E26C-428F-ADF1-62EE66697D41}">
      <dgm:prSet/>
      <dgm:spPr/>
      <dgm:t>
        <a:bodyPr/>
        <a:lstStyle/>
        <a:p>
          <a:endParaRPr lang="ru-RU"/>
        </a:p>
      </dgm:t>
    </dgm:pt>
    <dgm:pt modelId="{5AD88A22-3F19-4771-9FA6-A3A6EF02A090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000" b="1">
              <a:latin typeface="Book Antiqua" panose="02040602050305030304" pitchFamily="18" charset="0"/>
            </a:rPr>
            <a:t>T (</a:t>
          </a:r>
          <a:r>
            <a:rPr lang="ru-RU" sz="1000" b="1">
              <a:latin typeface="Book Antiqua" panose="02040602050305030304" pitchFamily="18" charset="0"/>
            </a:rPr>
            <a:t>Угрозы) - рыночные риски
- Высокая конкуренция в условиях, когда ценовые показатели являются приоритетными;
-Развитие альтернативных (аналогичных) технологий, появление на рынке аналогичного оборудования;
- Изменения в системе управления в строительстве;
- Высокий уровень государственного контроля над бизнесом;
- Отсутствие стандартов стандартизации новых технологий;
-Возможность быть проглоченной большой компанией.</a:t>
          </a:r>
        </a:p>
      </dgm:t>
    </dgm:pt>
    <dgm:pt modelId="{D6F02778-6C0E-4560-9270-CF25DCFB7BFA}" type="parTrans" cxnId="{146CEC0D-4255-42D7-8220-2B6FD52222EB}">
      <dgm:prSet/>
      <dgm:spPr/>
      <dgm:t>
        <a:bodyPr/>
        <a:lstStyle/>
        <a:p>
          <a:endParaRPr lang="ru-RU"/>
        </a:p>
      </dgm:t>
    </dgm:pt>
    <dgm:pt modelId="{9DF6E6AF-F9A0-4114-B170-BF72C2AD246D}" type="sibTrans" cxnId="{146CEC0D-4255-42D7-8220-2B6FD52222EB}">
      <dgm:prSet/>
      <dgm:spPr/>
      <dgm:t>
        <a:bodyPr/>
        <a:lstStyle/>
        <a:p>
          <a:endParaRPr lang="ru-RU"/>
        </a:p>
      </dgm:t>
    </dgm:pt>
    <dgm:pt modelId="{DCF91EE1-D90C-473D-BE10-92886ABD1ADD}">
      <dgm:prSet phldrT="[Текст]" phldr="1" custT="1"/>
      <dgm:spPr/>
      <dgm:t>
        <a:bodyPr/>
        <a:lstStyle/>
        <a:p>
          <a:endParaRPr lang="ru-RU" sz="1200">
            <a:latin typeface="Book Antiqua" panose="02040602050305030304" pitchFamily="18" charset="0"/>
          </a:endParaRPr>
        </a:p>
      </dgm:t>
    </dgm:pt>
    <dgm:pt modelId="{68924A89-859D-45D9-BAE1-DFEBAF6C9687}" type="parTrans" cxnId="{0E6672FA-782C-4A9C-9A6A-D374D1B12181}">
      <dgm:prSet/>
      <dgm:spPr/>
      <dgm:t>
        <a:bodyPr/>
        <a:lstStyle/>
        <a:p>
          <a:endParaRPr lang="ru-RU"/>
        </a:p>
      </dgm:t>
    </dgm:pt>
    <dgm:pt modelId="{A05E0E24-7D99-4A52-92D0-6E7431F966A8}" type="sibTrans" cxnId="{0E6672FA-782C-4A9C-9A6A-D374D1B12181}">
      <dgm:prSet/>
      <dgm:spPr/>
      <dgm:t>
        <a:bodyPr/>
        <a:lstStyle/>
        <a:p>
          <a:endParaRPr lang="ru-RU"/>
        </a:p>
      </dgm:t>
    </dgm:pt>
    <dgm:pt modelId="{DC2CDE5A-8444-4C80-8893-1AFF74E1F3B9}">
      <dgm:prSet phldrT="[Текст]" phldr="1" custT="1"/>
      <dgm:spPr/>
      <dgm:t>
        <a:bodyPr/>
        <a:lstStyle/>
        <a:p>
          <a:endParaRPr lang="ru-RU" sz="1200">
            <a:latin typeface="Book Antiqua" panose="02040602050305030304" pitchFamily="18" charset="0"/>
          </a:endParaRPr>
        </a:p>
      </dgm:t>
    </dgm:pt>
    <dgm:pt modelId="{CC65542D-E090-41F4-9AA3-771728B77DA3}" type="parTrans" cxnId="{917C37A4-C9AA-4419-98A6-413556261A22}">
      <dgm:prSet/>
      <dgm:spPr/>
      <dgm:t>
        <a:bodyPr/>
        <a:lstStyle/>
        <a:p>
          <a:endParaRPr lang="ru-RU"/>
        </a:p>
      </dgm:t>
    </dgm:pt>
    <dgm:pt modelId="{C8C18103-0952-418E-BAF4-9C174084331C}" type="sibTrans" cxnId="{917C37A4-C9AA-4419-98A6-413556261A22}">
      <dgm:prSet/>
      <dgm:spPr/>
      <dgm:t>
        <a:bodyPr/>
        <a:lstStyle/>
        <a:p>
          <a:endParaRPr lang="ru-RU"/>
        </a:p>
      </dgm:t>
    </dgm:pt>
    <dgm:pt modelId="{8DCC2025-89E3-42C2-B13B-14AD7866A528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000" b="1">
              <a:latin typeface="Book Antiqua" panose="02040602050305030304" pitchFamily="18" charset="0"/>
            </a:rPr>
            <a:t>O (</a:t>
          </a:r>
          <a:r>
            <a:rPr lang="ru-RU" sz="1000" b="1">
              <a:latin typeface="Book Antiqua" panose="02040602050305030304" pitchFamily="18" charset="0"/>
            </a:rPr>
            <a:t>Возможности) - возможности
- наличие кредитных и заемных ресурсов;
- Адекватность административного ресурса;
- наличие достаточно высоких технических и технологических ресурсов в работе общества;
- Высококвалифицированный управленческий и технический персонал, система обучения персонала;
- Адекватный уровень заказов на проектную работу</a:t>
          </a:r>
          <a:endParaRPr lang="ru-RU" sz="1000" b="0">
            <a:latin typeface="Book Antiqua" panose="02040602050305030304" pitchFamily="18" charset="0"/>
          </a:endParaRPr>
        </a:p>
      </dgm:t>
    </dgm:pt>
    <dgm:pt modelId="{53F3E00A-2838-4F15-BBAD-A5958F212183}" type="parTrans" cxnId="{437084E0-0E4D-48EF-BC55-F95BA6196CD3}">
      <dgm:prSet/>
      <dgm:spPr/>
      <dgm:t>
        <a:bodyPr/>
        <a:lstStyle/>
        <a:p>
          <a:endParaRPr lang="ru-RU"/>
        </a:p>
      </dgm:t>
    </dgm:pt>
    <dgm:pt modelId="{F5EE0C2F-D146-4489-884B-ECA71A4933A5}" type="sibTrans" cxnId="{437084E0-0E4D-48EF-BC55-F95BA6196CD3}">
      <dgm:prSet/>
      <dgm:spPr/>
      <dgm:t>
        <a:bodyPr/>
        <a:lstStyle/>
        <a:p>
          <a:endParaRPr lang="ru-RU"/>
        </a:p>
      </dgm:t>
    </dgm:pt>
    <dgm:pt modelId="{51C76A30-7418-44D9-886F-BF2102817282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000" b="1">
              <a:latin typeface="Book Antiqua" panose="02040602050305030304" pitchFamily="18" charset="0"/>
            </a:rPr>
            <a:t>W (</a:t>
          </a:r>
          <a:r>
            <a:rPr lang="ru-RU" sz="1000" b="1">
              <a:latin typeface="Book Antiqua" panose="02040602050305030304" pitchFamily="18" charset="0"/>
            </a:rPr>
            <a:t>Слабые стороны) - Слабые стороны
- нехватка финансовых ресурсов (оборотных средств для финансирования необходимых стратегических инициатив);
-отсутствие движения денежных средств в связи с длительным периодом оборота дебиторской задолженности;
- недостаточная рентабельность основной производственной деятельности;
- Высокий уровень себестоимости продукции;
- чрезмерное преувеличение и противоречивость организационно-функциональной структуры из-за отсутствия формализации в процессах управления;
- Перебои в приеме заказов из-за слабости маркетинговой политики.</a:t>
          </a:r>
        </a:p>
      </dgm:t>
    </dgm:pt>
    <dgm:pt modelId="{54949CF1-6A69-4094-9968-1B5B5FE0D4C1}" type="parTrans" cxnId="{2F87BBEE-9FE9-4880-B0D4-C2D112569BB9}">
      <dgm:prSet/>
      <dgm:spPr/>
      <dgm:t>
        <a:bodyPr/>
        <a:lstStyle/>
        <a:p>
          <a:endParaRPr lang="ru-RU"/>
        </a:p>
      </dgm:t>
    </dgm:pt>
    <dgm:pt modelId="{601CC182-21DE-48A5-BEFB-152B68B05D31}" type="sibTrans" cxnId="{2F87BBEE-9FE9-4880-B0D4-C2D112569BB9}">
      <dgm:prSet/>
      <dgm:spPr/>
      <dgm:t>
        <a:bodyPr/>
        <a:lstStyle/>
        <a:p>
          <a:endParaRPr lang="ru-RU"/>
        </a:p>
      </dgm:t>
    </dgm:pt>
    <dgm:pt modelId="{C00728E8-2A0E-401D-B47A-5B2C2978F2E5}" type="pres">
      <dgm:prSet presAssocID="{B9B73407-C525-4504-9B08-3A6596FDFA50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17A80B-1FE2-42CC-B0C4-817515590C0C}" type="pres">
      <dgm:prSet presAssocID="{B9B73407-C525-4504-9B08-3A6596FDFA50}" presName="axisShape" presStyleLbl="bgShp" presStyleIdx="0" presStyleCnt="1" custLinFactNeighborX="-128" custLinFactNeighborY="679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1"/>
        </a:solidFill>
        <a:ln>
          <a:noFill/>
        </a:ln>
      </dgm:spPr>
    </dgm:pt>
    <dgm:pt modelId="{E9855485-5B36-40E0-838C-43FEA3E0AB39}" type="pres">
      <dgm:prSet presAssocID="{B9B73407-C525-4504-9B08-3A6596FDFA50}" presName="rect1" presStyleLbl="node1" presStyleIdx="0" presStyleCnt="4" custScaleX="172837" custScaleY="101953" custLinFactNeighborX="-40803" custLinFactNeighborY="-53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A8428C-E297-4A6B-A098-B1E2E357E10E}" type="pres">
      <dgm:prSet presAssocID="{B9B73407-C525-4504-9B08-3A6596FDFA50}" presName="rect2" presStyleLbl="node1" presStyleIdx="1" presStyleCnt="4" custScaleX="177880" custScaleY="103335" custLinFactNeighborX="41426" custLinFactNeighborY="-779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33427C-55DB-45C3-B9DC-13723BFB9312}" type="pres">
      <dgm:prSet presAssocID="{B9B73407-C525-4504-9B08-3A6596FDFA50}" presName="rect3" presStyleLbl="node1" presStyleIdx="2" presStyleCnt="4" custScaleX="181472" custLinFactNeighborX="-43890" custLinFactNeighborY="34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692B60-FCAA-46FD-9CDB-D0A4EAF22418}" type="pres">
      <dgm:prSet presAssocID="{B9B73407-C525-4504-9B08-3A6596FDFA50}" presName="rect4" presStyleLbl="node1" presStyleIdx="3" presStyleCnt="4" custScaleX="175346" custLinFactNeighborX="39820" custLinFactNeighborY="35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7C37A4-C9AA-4419-98A6-413556261A22}" srcId="{B9B73407-C525-4504-9B08-3A6596FDFA50}" destId="{DC2CDE5A-8444-4C80-8893-1AFF74E1F3B9}" srcOrd="5" destOrd="0" parTransId="{CC65542D-E090-41F4-9AA3-771728B77DA3}" sibTransId="{C8C18103-0952-418E-BAF4-9C174084331C}"/>
    <dgm:cxn modelId="{3608DEAE-31CE-41CB-9455-4654771ED575}" type="presOf" srcId="{51C76A30-7418-44D9-886F-BF2102817282}" destId="{BDA8428C-E297-4A6B-A098-B1E2E357E10E}" srcOrd="0" destOrd="0" presId="urn:microsoft.com/office/officeart/2005/8/layout/matrix2"/>
    <dgm:cxn modelId="{0E6672FA-782C-4A9C-9A6A-D374D1B12181}" srcId="{B9B73407-C525-4504-9B08-3A6596FDFA50}" destId="{DCF91EE1-D90C-473D-BE10-92886ABD1ADD}" srcOrd="4" destOrd="0" parTransId="{68924A89-859D-45D9-BAE1-DFEBAF6C9687}" sibTransId="{A05E0E24-7D99-4A52-92D0-6E7431F966A8}"/>
    <dgm:cxn modelId="{146CEC0D-4255-42D7-8220-2B6FD52222EB}" srcId="{B9B73407-C525-4504-9B08-3A6596FDFA50}" destId="{5AD88A22-3F19-4771-9FA6-A3A6EF02A090}" srcOrd="3" destOrd="0" parTransId="{D6F02778-6C0E-4560-9270-CF25DCFB7BFA}" sibTransId="{9DF6E6AF-F9A0-4114-B170-BF72C2AD246D}"/>
    <dgm:cxn modelId="{FAE32460-BF54-41C1-90CA-2ACBF660285D}" type="presOf" srcId="{B9B73407-C525-4504-9B08-3A6596FDFA50}" destId="{C00728E8-2A0E-401D-B47A-5B2C2978F2E5}" srcOrd="0" destOrd="0" presId="urn:microsoft.com/office/officeart/2005/8/layout/matrix2"/>
    <dgm:cxn modelId="{DF1D6418-E26C-428F-ADF1-62EE66697D41}" srcId="{B9B73407-C525-4504-9B08-3A6596FDFA50}" destId="{2CA20770-605D-45B6-A39B-467EDF5ECEAC}" srcOrd="0" destOrd="0" parTransId="{F6235C85-C90B-4413-BA46-758E8EFCF0D9}" sibTransId="{F8EB9ECD-CEB4-4D61-9245-449485C3F385}"/>
    <dgm:cxn modelId="{437084E0-0E4D-48EF-BC55-F95BA6196CD3}" srcId="{B9B73407-C525-4504-9B08-3A6596FDFA50}" destId="{8DCC2025-89E3-42C2-B13B-14AD7866A528}" srcOrd="2" destOrd="0" parTransId="{53F3E00A-2838-4F15-BBAD-A5958F212183}" sibTransId="{F5EE0C2F-D146-4489-884B-ECA71A4933A5}"/>
    <dgm:cxn modelId="{B19A924F-EDEF-4B48-A9F8-A54DF14E1B2C}" type="presOf" srcId="{5AD88A22-3F19-4771-9FA6-A3A6EF02A090}" destId="{C7692B60-FCAA-46FD-9CDB-D0A4EAF22418}" srcOrd="0" destOrd="0" presId="urn:microsoft.com/office/officeart/2005/8/layout/matrix2"/>
    <dgm:cxn modelId="{032BD679-4930-44A5-81A8-F25B90524923}" type="presOf" srcId="{2CA20770-605D-45B6-A39B-467EDF5ECEAC}" destId="{E9855485-5B36-40E0-838C-43FEA3E0AB39}" srcOrd="0" destOrd="0" presId="urn:microsoft.com/office/officeart/2005/8/layout/matrix2"/>
    <dgm:cxn modelId="{40FE700D-415B-4D85-A43B-EC8836E3BCCA}" type="presOf" srcId="{8DCC2025-89E3-42C2-B13B-14AD7866A528}" destId="{6A33427C-55DB-45C3-B9DC-13723BFB9312}" srcOrd="0" destOrd="0" presId="urn:microsoft.com/office/officeart/2005/8/layout/matrix2"/>
    <dgm:cxn modelId="{2F87BBEE-9FE9-4880-B0D4-C2D112569BB9}" srcId="{B9B73407-C525-4504-9B08-3A6596FDFA50}" destId="{51C76A30-7418-44D9-886F-BF2102817282}" srcOrd="1" destOrd="0" parTransId="{54949CF1-6A69-4094-9968-1B5B5FE0D4C1}" sibTransId="{601CC182-21DE-48A5-BEFB-152B68B05D31}"/>
    <dgm:cxn modelId="{746E326E-10C4-46AA-A4DD-9A3E7CD1A688}" type="presParOf" srcId="{C00728E8-2A0E-401D-B47A-5B2C2978F2E5}" destId="{5A17A80B-1FE2-42CC-B0C4-817515590C0C}" srcOrd="0" destOrd="0" presId="urn:microsoft.com/office/officeart/2005/8/layout/matrix2"/>
    <dgm:cxn modelId="{C463F1AE-476F-4E95-8B7B-107F8063488A}" type="presParOf" srcId="{C00728E8-2A0E-401D-B47A-5B2C2978F2E5}" destId="{E9855485-5B36-40E0-838C-43FEA3E0AB39}" srcOrd="1" destOrd="0" presId="urn:microsoft.com/office/officeart/2005/8/layout/matrix2"/>
    <dgm:cxn modelId="{4F536AF5-49A1-4260-8720-74B6163970D1}" type="presParOf" srcId="{C00728E8-2A0E-401D-B47A-5B2C2978F2E5}" destId="{BDA8428C-E297-4A6B-A098-B1E2E357E10E}" srcOrd="2" destOrd="0" presId="urn:microsoft.com/office/officeart/2005/8/layout/matrix2"/>
    <dgm:cxn modelId="{E0CB6350-E9AD-4B0F-A600-B52303AE8DB2}" type="presParOf" srcId="{C00728E8-2A0E-401D-B47A-5B2C2978F2E5}" destId="{6A33427C-55DB-45C3-B9DC-13723BFB9312}" srcOrd="3" destOrd="0" presId="urn:microsoft.com/office/officeart/2005/8/layout/matrix2"/>
    <dgm:cxn modelId="{A3AD9B98-AE40-46FD-AD3B-5D0A155A701F}" type="presParOf" srcId="{C00728E8-2A0E-401D-B47A-5B2C2978F2E5}" destId="{C7692B60-FCAA-46FD-9CDB-D0A4EAF22418}" srcOrd="4" destOrd="0" presId="urn:microsoft.com/office/officeart/2005/8/layout/matrix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2022-04-21T15:26:00Z</dcterms:created>
  <dcterms:modified xsi:type="dcterms:W3CDTF">2022-04-21T15:43:00Z</dcterms:modified>
</cp:coreProperties>
</file>